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C3788" w14:textId="519C84C2" w:rsidR="00B96604" w:rsidRPr="0052548E" w:rsidRDefault="00B96604" w:rsidP="00B9660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8545F6">
        <w:rPr>
          <w:rFonts w:ascii="Arial" w:hAnsi="Arial" w:cs="Arial"/>
          <w:b/>
          <w:bCs/>
          <w:sz w:val="28"/>
        </w:rPr>
        <w:t>R1-19</w:t>
      </w:r>
      <w:r>
        <w:rPr>
          <w:rFonts w:ascii="Arial" w:hAnsi="Arial" w:cs="Arial"/>
          <w:b/>
          <w:bCs/>
          <w:sz w:val="28"/>
        </w:rPr>
        <w:t>01909</w:t>
      </w:r>
    </w:p>
    <w:p w14:paraId="137B5B90" w14:textId="77777777" w:rsidR="00B96604" w:rsidRDefault="00B96604" w:rsidP="00B966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65547813" w14:textId="77777777" w:rsidR="004258B0" w:rsidRDefault="004258B0" w:rsidP="006C56E9">
      <w:pPr>
        <w:pStyle w:val="Heading2"/>
        <w:numPr>
          <w:ilvl w:val="0"/>
          <w:numId w:val="0"/>
        </w:numPr>
        <w:rPr>
          <w:b/>
          <w:lang w:val="en-US"/>
        </w:rPr>
      </w:pPr>
    </w:p>
    <w:p w14:paraId="7DEDA090" w14:textId="238E9443"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426E58">
        <w:t>1.</w:t>
      </w:r>
      <w:r w:rsidR="00C04FD5">
        <w:t>1</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1E08AF6D"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BD1779">
        <w:rPr>
          <w:rFonts w:ascii="Arial" w:hAnsi="Arial"/>
          <w:sz w:val="28"/>
          <w:szCs w:val="28"/>
        </w:rPr>
        <w:t>On Potential Enhancements to PDCCH for URLLC</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5BF3A8E7"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6D4D06">
        <w:rPr>
          <w:rFonts w:cs="Times New Roman"/>
          <w:sz w:val="24"/>
          <w:lang w:eastAsia="x-none"/>
        </w:rPr>
        <w:t>#95</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23713FD1" w14:textId="77777777" w:rsidR="002B37E2" w:rsidRPr="00301259" w:rsidRDefault="002B37E2" w:rsidP="002B37E2">
      <w:pPr>
        <w:widowControl w:val="0"/>
        <w:rPr>
          <w:b/>
          <w:kern w:val="2"/>
          <w:lang w:eastAsia="zh-CN"/>
        </w:rPr>
      </w:pPr>
      <w:r w:rsidRPr="00301259">
        <w:rPr>
          <w:kern w:val="2"/>
          <w:lang w:eastAsia="zh-CN"/>
        </w:rPr>
        <w:t xml:space="preserve">For the DCI format scheduling Rel-16 NR URLLC, </w:t>
      </w:r>
    </w:p>
    <w:p w14:paraId="4AAA05DA" w14:textId="77777777" w:rsidR="002B37E2" w:rsidRPr="00301259" w:rsidRDefault="002B37E2" w:rsidP="002B37E2">
      <w:pPr>
        <w:pStyle w:val="ListParagraph"/>
        <w:numPr>
          <w:ilvl w:val="0"/>
          <w:numId w:val="44"/>
        </w:numPr>
        <w:autoSpaceDE w:val="0"/>
        <w:autoSpaceDN w:val="0"/>
        <w:adjustRightInd w:val="0"/>
        <w:snapToGrid w:val="0"/>
        <w:spacing w:after="120"/>
        <w:contextualSpacing/>
        <w:jc w:val="both"/>
        <w:rPr>
          <w:kern w:val="2"/>
          <w:lang w:eastAsia="zh-CN"/>
        </w:rPr>
      </w:pPr>
      <w:r w:rsidRPr="00301259">
        <w:rPr>
          <w:kern w:val="2"/>
          <w:lang w:eastAsia="zh-CN"/>
        </w:rPr>
        <w:t xml:space="preserve">Support potential reduction of the number of bits for at least one of the following fields compared to Rel-15 DCI </w:t>
      </w:r>
    </w:p>
    <w:p w14:paraId="77AF4D44"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color w:val="000000"/>
          <w:kern w:val="2"/>
          <w:lang w:eastAsia="zh-CN"/>
        </w:rPr>
      </w:pPr>
      <w:r w:rsidRPr="00301259">
        <w:rPr>
          <w:color w:val="000000"/>
          <w:kern w:val="2"/>
          <w:lang w:eastAsia="zh-CN"/>
        </w:rPr>
        <w:t>Frequency domain resource assignment</w:t>
      </w:r>
    </w:p>
    <w:p w14:paraId="1B341813"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color w:val="000000"/>
          <w:kern w:val="2"/>
          <w:lang w:eastAsia="zh-CN"/>
        </w:rPr>
      </w:pPr>
      <w:r w:rsidRPr="00301259">
        <w:rPr>
          <w:color w:val="000000"/>
          <w:kern w:val="2"/>
          <w:lang w:eastAsia="zh-CN"/>
        </w:rPr>
        <w:t>Time domain resource assignment</w:t>
      </w:r>
    </w:p>
    <w:p w14:paraId="388C59CF"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color w:val="000000"/>
          <w:kern w:val="2"/>
          <w:lang w:eastAsia="zh-CN"/>
        </w:rPr>
      </w:pPr>
      <w:r w:rsidRPr="00301259">
        <w:rPr>
          <w:color w:val="000000"/>
          <w:kern w:val="2"/>
          <w:lang w:eastAsia="zh-CN"/>
        </w:rPr>
        <w:t>Modulation and coding scheme</w:t>
      </w:r>
    </w:p>
    <w:p w14:paraId="7B5E29EB"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color w:val="000000"/>
          <w:kern w:val="2"/>
          <w:lang w:eastAsia="zh-CN"/>
        </w:rPr>
      </w:pPr>
      <w:r w:rsidRPr="00301259">
        <w:rPr>
          <w:color w:val="000000"/>
          <w:kern w:val="2"/>
          <w:lang w:eastAsia="zh-CN"/>
        </w:rPr>
        <w:t>HARQ process number</w:t>
      </w:r>
    </w:p>
    <w:p w14:paraId="667B26C3"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color w:val="000000"/>
          <w:kern w:val="2"/>
          <w:lang w:eastAsia="zh-CN"/>
        </w:rPr>
      </w:pPr>
      <w:r w:rsidRPr="00301259">
        <w:rPr>
          <w:color w:val="000000"/>
          <w:kern w:val="2"/>
          <w:lang w:eastAsia="zh-CN"/>
        </w:rPr>
        <w:t xml:space="preserve">Redundancy version </w:t>
      </w:r>
    </w:p>
    <w:p w14:paraId="1D8AF390"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color w:val="000000"/>
          <w:kern w:val="2"/>
          <w:lang w:eastAsia="zh-CN"/>
        </w:rPr>
      </w:pPr>
      <w:r w:rsidRPr="00301259">
        <w:rPr>
          <w:rFonts w:hint="eastAsia"/>
          <w:color w:val="000000"/>
          <w:kern w:val="2"/>
          <w:lang w:eastAsia="zh-CN"/>
        </w:rPr>
        <w:t>PUCCH resource indicator</w:t>
      </w:r>
    </w:p>
    <w:p w14:paraId="76AEA44A"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color w:val="000000"/>
          <w:kern w:val="2"/>
          <w:lang w:eastAsia="zh-CN"/>
        </w:rPr>
      </w:pPr>
      <w:r w:rsidRPr="00301259">
        <w:rPr>
          <w:color w:val="000000"/>
          <w:kern w:val="2"/>
          <w:lang w:eastAsia="zh-CN"/>
        </w:rPr>
        <w:t>PDSCH-to-HARQ_feedback timing indicator</w:t>
      </w:r>
    </w:p>
    <w:p w14:paraId="24E1A7F1"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color w:val="000000"/>
          <w:kern w:val="2"/>
          <w:lang w:eastAsia="zh-CN"/>
        </w:rPr>
      </w:pPr>
      <w:r w:rsidRPr="00301259">
        <w:rPr>
          <w:color w:val="000000"/>
          <w:kern w:val="2"/>
          <w:lang w:eastAsia="zh-CN"/>
        </w:rPr>
        <w:t>Downlink assignment index</w:t>
      </w:r>
    </w:p>
    <w:p w14:paraId="7FF4822B"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62329F9C" w14:textId="77777777" w:rsidR="002B37E2" w:rsidRPr="00301259" w:rsidRDefault="002B37E2" w:rsidP="002B37E2">
      <w:pPr>
        <w:pStyle w:val="ListParagraph"/>
        <w:numPr>
          <w:ilvl w:val="0"/>
          <w:numId w:val="44"/>
        </w:numPr>
        <w:autoSpaceDE w:val="0"/>
        <w:autoSpaceDN w:val="0"/>
        <w:adjustRightInd w:val="0"/>
        <w:snapToGrid w:val="0"/>
        <w:spacing w:after="120"/>
        <w:contextualSpacing/>
        <w:jc w:val="both"/>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4B220467"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730FD05C"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40B95DAC" w14:textId="77777777" w:rsidR="002B37E2" w:rsidRPr="00301259" w:rsidRDefault="002B37E2" w:rsidP="002B37E2">
      <w:pPr>
        <w:pStyle w:val="ListParagraph"/>
        <w:numPr>
          <w:ilvl w:val="1"/>
          <w:numId w:val="44"/>
        </w:numPr>
        <w:autoSpaceDE w:val="0"/>
        <w:autoSpaceDN w:val="0"/>
        <w:adjustRightInd w:val="0"/>
        <w:snapToGrid w:val="0"/>
        <w:spacing w:after="120"/>
        <w:contextualSpacing/>
        <w:jc w:val="both"/>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224B59E4" w14:textId="77777777" w:rsidR="002B37E2" w:rsidRPr="00301259" w:rsidRDefault="002B37E2" w:rsidP="002B37E2">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3FC44177" w14:textId="77777777" w:rsidR="002B37E2" w:rsidRDefault="002B37E2" w:rsidP="002B37E2">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Maximum size should be equal to the DCI format size of Rel-15 fallback DCI</w:t>
      </w:r>
    </w:p>
    <w:p w14:paraId="7388C526" w14:textId="77777777" w:rsidR="005F237B" w:rsidRPr="00301259" w:rsidRDefault="005F237B" w:rsidP="005F237B">
      <w:pPr>
        <w:pStyle w:val="ListParagraph"/>
        <w:numPr>
          <w:ilvl w:val="1"/>
          <w:numId w:val="44"/>
        </w:numPr>
        <w:autoSpaceDE w:val="0"/>
        <w:autoSpaceDN w:val="0"/>
        <w:adjustRightInd w:val="0"/>
        <w:snapToGrid w:val="0"/>
        <w:spacing w:after="120"/>
        <w:contextualSpacing/>
        <w:jc w:val="both"/>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610039B7" w14:textId="77777777" w:rsidR="005F237B" w:rsidRPr="00301259" w:rsidRDefault="005F237B" w:rsidP="005F237B">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The maximum DCI size can be larger than Rel-15 fallback DCI</w:t>
      </w:r>
    </w:p>
    <w:p w14:paraId="60B30582" w14:textId="77777777" w:rsidR="005F237B" w:rsidRPr="00301259" w:rsidRDefault="005F237B" w:rsidP="005F237B">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The minimum DCI size target a reduction of 10~16 bits less than the DCI format size of Rel-15 fallback DCI</w:t>
      </w:r>
    </w:p>
    <w:p w14:paraId="4EE738DF" w14:textId="77777777" w:rsidR="005F237B" w:rsidRDefault="005F237B" w:rsidP="005F237B">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Provide the possibility to align with the size of the Rel-15 fallback DCI (including possible zero padding if any)</w:t>
      </w:r>
    </w:p>
    <w:p w14:paraId="177DAB64" w14:textId="77777777" w:rsidR="005F237B" w:rsidRPr="00301259" w:rsidRDefault="005F237B" w:rsidP="005F237B">
      <w:pPr>
        <w:pStyle w:val="ListParagraph"/>
        <w:numPr>
          <w:ilvl w:val="1"/>
          <w:numId w:val="44"/>
        </w:numPr>
        <w:autoSpaceDE w:val="0"/>
        <w:autoSpaceDN w:val="0"/>
        <w:adjustRightInd w:val="0"/>
        <w:snapToGrid w:val="0"/>
        <w:spacing w:after="120"/>
        <w:contextualSpacing/>
        <w:jc w:val="both"/>
        <w:rPr>
          <w:kern w:val="2"/>
          <w:lang w:eastAsia="zh-CN"/>
        </w:rPr>
      </w:pPr>
      <w:r>
        <w:rPr>
          <w:kern w:val="2"/>
          <w:lang w:eastAsia="zh-CN"/>
        </w:rPr>
        <w:lastRenderedPageBreak/>
        <w:t>Option 5: no introduction of new DCI format due to this SI</w:t>
      </w:r>
    </w:p>
    <w:p w14:paraId="4B24CFC7" w14:textId="77777777" w:rsidR="005F237B" w:rsidRPr="00301259" w:rsidRDefault="005F237B" w:rsidP="005F237B">
      <w:pPr>
        <w:pStyle w:val="ListParagraph"/>
        <w:numPr>
          <w:ilvl w:val="0"/>
          <w:numId w:val="44"/>
        </w:numPr>
        <w:autoSpaceDE w:val="0"/>
        <w:autoSpaceDN w:val="0"/>
        <w:adjustRightInd w:val="0"/>
        <w:snapToGrid w:val="0"/>
        <w:spacing w:after="120"/>
        <w:contextualSpacing/>
        <w:jc w:val="both"/>
        <w:rPr>
          <w:lang w:eastAsia="zh-CN"/>
        </w:rPr>
      </w:pPr>
      <w:r w:rsidRPr="00301259">
        <w:rPr>
          <w:kern w:val="2"/>
          <w:lang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14:paraId="5A97258F" w14:textId="77777777" w:rsidR="005F237B" w:rsidRPr="00301259" w:rsidRDefault="005F237B" w:rsidP="002B37E2">
      <w:pPr>
        <w:pStyle w:val="ListParagraph"/>
        <w:numPr>
          <w:ilvl w:val="2"/>
          <w:numId w:val="44"/>
        </w:numPr>
        <w:autoSpaceDE w:val="0"/>
        <w:autoSpaceDN w:val="0"/>
        <w:adjustRightInd w:val="0"/>
        <w:snapToGrid w:val="0"/>
        <w:spacing w:after="120"/>
        <w:contextualSpacing/>
        <w:jc w:val="both"/>
        <w:rPr>
          <w:kern w:val="2"/>
          <w:lang w:eastAsia="zh-CN"/>
        </w:rPr>
      </w:pPr>
    </w:p>
    <w:p w14:paraId="67105090" w14:textId="77777777" w:rsidR="002B37E2" w:rsidRDefault="002B37E2" w:rsidP="00490F34">
      <w:pPr>
        <w:overflowPunct/>
        <w:autoSpaceDE/>
        <w:autoSpaceDN/>
        <w:adjustRightInd/>
        <w:contextualSpacing/>
        <w:textAlignment w:val="auto"/>
        <w:rPr>
          <w:sz w:val="24"/>
          <w:lang w:eastAsia="x-none"/>
        </w:rPr>
      </w:pPr>
    </w:p>
    <w:p w14:paraId="7758D053" w14:textId="75FE8E60"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496C62">
        <w:rPr>
          <w:sz w:val="24"/>
          <w:lang w:eastAsia="x-none"/>
        </w:rPr>
        <w:t>rovide detailed analysis of PDCCH enhancements for NR URLLC.</w:t>
      </w:r>
    </w:p>
    <w:p w14:paraId="253CFAE3" w14:textId="48D368BC" w:rsidR="00822CF7" w:rsidRDefault="00D75064" w:rsidP="00822CF7">
      <w:pPr>
        <w:pStyle w:val="Heading1"/>
        <w:rPr>
          <w:lang w:val="en-US"/>
        </w:rPr>
      </w:pPr>
      <w:r>
        <w:rPr>
          <w:lang w:val="en-US"/>
        </w:rPr>
        <w:t xml:space="preserve">Motivation for PDCCH Enhancements </w:t>
      </w:r>
      <w:r w:rsidR="000A3E5E">
        <w:rPr>
          <w:lang w:val="en-US"/>
        </w:rPr>
        <w:t>for NR URLLC</w:t>
      </w:r>
    </w:p>
    <w:p w14:paraId="218F7B3C" w14:textId="37DF730C" w:rsidR="00B35E78" w:rsidRDefault="00B35E78" w:rsidP="00B35E78">
      <w:pPr>
        <w:contextualSpacing/>
        <w:jc w:val="both"/>
        <w:rPr>
          <w:sz w:val="24"/>
        </w:rPr>
      </w:pPr>
      <w:r>
        <w:rPr>
          <w:sz w:val="24"/>
        </w:rPr>
        <w:t>In this section we provide mathematical analysis for PDCCH reliability.</w:t>
      </w:r>
      <w:r w:rsidR="005C6587">
        <w:rPr>
          <w:sz w:val="24"/>
        </w:rPr>
        <w:t xml:space="preserve"> </w:t>
      </w:r>
      <w:r>
        <w:rPr>
          <w:sz w:val="24"/>
        </w:rPr>
        <w:t>Let  P</w:t>
      </w:r>
      <w:r w:rsidRPr="00A8361B">
        <w:rPr>
          <w:sz w:val="24"/>
          <w:vertAlign w:val="subscript"/>
        </w:rPr>
        <w:t>R</w:t>
      </w:r>
      <w:r>
        <w:rPr>
          <w:sz w:val="24"/>
        </w:rPr>
        <w:t xml:space="preserve"> is the reliability or the probability  of correct reception of the NR URLLC packet at the application layer. Then for downlink packets transmission, the P</w:t>
      </w:r>
      <w:r w:rsidRPr="00A8361B">
        <w:rPr>
          <w:sz w:val="24"/>
          <w:vertAlign w:val="subscript"/>
        </w:rPr>
        <w:t>R</w:t>
      </w:r>
      <w:r>
        <w:rPr>
          <w:sz w:val="24"/>
        </w:rPr>
        <w:t xml:space="preserve"> depends on </w:t>
      </w:r>
    </w:p>
    <w:p w14:paraId="187778DA"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downlink control channel</w:t>
      </w:r>
    </w:p>
    <w:p w14:paraId="3A6404AF"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 xml:space="preserve">Probability of correct reception of PDSCH </w:t>
      </w:r>
    </w:p>
    <w:p w14:paraId="2A147DF9"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HARQ-ACK</w:t>
      </w:r>
    </w:p>
    <w:p w14:paraId="6F318F79" w14:textId="77777777" w:rsidR="00B35E78" w:rsidRDefault="00B35E78" w:rsidP="00B35E78">
      <w:pPr>
        <w:contextualSpacing/>
        <w:jc w:val="both"/>
        <w:rPr>
          <w:sz w:val="24"/>
        </w:rPr>
      </w:pPr>
    </w:p>
    <w:p w14:paraId="5B5A02E0" w14:textId="77777777" w:rsidR="00B35E78" w:rsidRDefault="00B35E78" w:rsidP="00B35E78">
      <w:pPr>
        <w:contextualSpacing/>
        <w:jc w:val="both"/>
        <w:rPr>
          <w:sz w:val="24"/>
        </w:rPr>
      </w:pPr>
      <w:r>
        <w:rPr>
          <w:sz w:val="24"/>
        </w:rPr>
        <w:t>Since these three events are independent dent from the network point of view, the ioint probability of correct reception at the application layer is given by</w:t>
      </w:r>
    </w:p>
    <w:p w14:paraId="272D3733" w14:textId="77777777" w:rsidR="00B35E78" w:rsidRDefault="00B35E78" w:rsidP="00B35E78">
      <w:pPr>
        <w:contextualSpacing/>
        <w:jc w:val="both"/>
        <w:rPr>
          <w:sz w:val="24"/>
        </w:rPr>
      </w:pPr>
    </w:p>
    <w:p w14:paraId="0CAB619E" w14:textId="77777777" w:rsidR="00B35E78" w:rsidRDefault="00B35E78" w:rsidP="00B35E78">
      <w:pPr>
        <w:contextualSpacing/>
        <w:jc w:val="both"/>
        <w:rPr>
          <w:sz w:val="24"/>
        </w:rPr>
      </w:pPr>
    </w:p>
    <w:p w14:paraId="25CCA5D2" w14:textId="77777777" w:rsidR="00B35E78" w:rsidRDefault="00B35E78" w:rsidP="00B35E78">
      <w:pPr>
        <w:contextualSpacing/>
        <w:jc w:val="both"/>
        <w:rPr>
          <w:sz w:val="24"/>
        </w:rPr>
      </w:pPr>
      <w:r w:rsidRPr="00A8361B">
        <w:rPr>
          <w:noProof/>
          <w:sz w:val="24"/>
        </w:rPr>
        <w:drawing>
          <wp:inline distT="0" distB="0" distL="0" distR="0" wp14:anchorId="62C4AC45" wp14:editId="2E11CC74">
            <wp:extent cx="4213733" cy="292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7298" cy="292983"/>
                    </a:xfrm>
                    <a:prstGeom prst="rect">
                      <a:avLst/>
                    </a:prstGeom>
                    <a:noFill/>
                    <a:ln>
                      <a:noFill/>
                    </a:ln>
                  </pic:spPr>
                </pic:pic>
              </a:graphicData>
            </a:graphic>
          </wp:inline>
        </w:drawing>
      </w:r>
    </w:p>
    <w:p w14:paraId="37021E57" w14:textId="77777777" w:rsidR="00B35E78" w:rsidRDefault="00B35E78" w:rsidP="00B35E78">
      <w:pPr>
        <w:contextualSpacing/>
        <w:jc w:val="both"/>
        <w:rPr>
          <w:sz w:val="24"/>
        </w:rPr>
      </w:pPr>
    </w:p>
    <w:p w14:paraId="6752BA28" w14:textId="77777777" w:rsidR="00B35E78" w:rsidRDefault="00B35E78" w:rsidP="00B35E78">
      <w:pPr>
        <w:contextualSpacing/>
        <w:jc w:val="both"/>
        <w:rPr>
          <w:sz w:val="24"/>
        </w:rPr>
      </w:pPr>
      <w:r>
        <w:rPr>
          <w:sz w:val="24"/>
        </w:rPr>
        <w:t>Where P</w:t>
      </w:r>
      <w:r w:rsidRPr="008874A3">
        <w:rPr>
          <w:sz w:val="24"/>
          <w:vertAlign w:val="subscript"/>
        </w:rPr>
        <w:t>dci</w:t>
      </w:r>
      <w:r>
        <w:rPr>
          <w:sz w:val="24"/>
        </w:rPr>
        <w:t xml:space="preserve"> is the probability of error for DCI, P</w:t>
      </w:r>
      <w:r w:rsidRPr="008874A3">
        <w:rPr>
          <w:sz w:val="24"/>
          <w:vertAlign w:val="subscript"/>
        </w:rPr>
        <w:t>pdsch</w:t>
      </w:r>
      <w:r>
        <w:rPr>
          <w:sz w:val="24"/>
        </w:rPr>
        <w:t xml:space="preserve"> is the probability of transport block error for PDSCH and P</w:t>
      </w:r>
      <w:r w:rsidRPr="008874A3">
        <w:rPr>
          <w:sz w:val="24"/>
          <w:vertAlign w:val="subscript"/>
        </w:rPr>
        <w:t xml:space="preserve">HARQ-ACK </w:t>
      </w:r>
      <w:r>
        <w:rPr>
          <w:sz w:val="24"/>
        </w:rPr>
        <w:t xml:space="preserve">is the probability of error for HARQ-ACK </w:t>
      </w:r>
    </w:p>
    <w:p w14:paraId="6BBC8677" w14:textId="77777777" w:rsidR="00B35E78" w:rsidRDefault="00B35E78" w:rsidP="00B35E78">
      <w:pPr>
        <w:contextualSpacing/>
        <w:jc w:val="both"/>
        <w:rPr>
          <w:sz w:val="24"/>
          <w:vertAlign w:val="subscript"/>
        </w:rPr>
      </w:pPr>
      <w:r>
        <w:rPr>
          <w:sz w:val="24"/>
        </w:rPr>
        <w:t>Since we are interested in the probability of error for downlink control channel P</w:t>
      </w:r>
      <w:r w:rsidRPr="008874A3">
        <w:rPr>
          <w:sz w:val="24"/>
          <w:vertAlign w:val="subscript"/>
        </w:rPr>
        <w:t>dci</w:t>
      </w:r>
      <w:r>
        <w:rPr>
          <w:sz w:val="24"/>
          <w:vertAlign w:val="subscript"/>
        </w:rPr>
        <w:t xml:space="preserve">   </w:t>
      </w:r>
    </w:p>
    <w:p w14:paraId="3A7F7FB0" w14:textId="77777777" w:rsidR="00B35E78" w:rsidRDefault="00B35E78" w:rsidP="00B35E78">
      <w:pPr>
        <w:contextualSpacing/>
        <w:jc w:val="both"/>
        <w:rPr>
          <w:sz w:val="24"/>
          <w:vertAlign w:val="subscript"/>
        </w:rPr>
      </w:pPr>
      <w:r w:rsidRPr="008874A3">
        <w:rPr>
          <w:noProof/>
          <w:sz w:val="24"/>
          <w:vertAlign w:val="subscript"/>
        </w:rPr>
        <w:drawing>
          <wp:inline distT="0" distB="0" distL="0" distR="0" wp14:anchorId="7BDD3B81" wp14:editId="7140BAFF">
            <wp:extent cx="4564380" cy="63627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4380" cy="636270"/>
                    </a:xfrm>
                    <a:prstGeom prst="rect">
                      <a:avLst/>
                    </a:prstGeom>
                    <a:noFill/>
                    <a:ln>
                      <a:noFill/>
                    </a:ln>
                  </pic:spPr>
                </pic:pic>
              </a:graphicData>
            </a:graphic>
          </wp:inline>
        </w:drawing>
      </w:r>
    </w:p>
    <w:p w14:paraId="48525189" w14:textId="77777777" w:rsidR="00B35E78" w:rsidRDefault="00B35E78" w:rsidP="00B35E78">
      <w:pPr>
        <w:contextualSpacing/>
        <w:jc w:val="both"/>
        <w:rPr>
          <w:sz w:val="24"/>
        </w:rPr>
      </w:pPr>
    </w:p>
    <w:p w14:paraId="190EE35E" w14:textId="77777777" w:rsidR="00B35E78" w:rsidRDefault="00B35E78" w:rsidP="00B35E78">
      <w:pPr>
        <w:contextualSpacing/>
        <w:jc w:val="both"/>
        <w:rPr>
          <w:sz w:val="24"/>
        </w:rPr>
      </w:pPr>
      <w:r>
        <w:rPr>
          <w:sz w:val="24"/>
        </w:rPr>
        <w:t>Since P</w:t>
      </w:r>
      <w:r w:rsidRPr="002B7E73">
        <w:rPr>
          <w:sz w:val="24"/>
          <w:vertAlign w:val="subscript"/>
        </w:rPr>
        <w:t>dci</w:t>
      </w:r>
      <w:r>
        <w:rPr>
          <w:sz w:val="24"/>
        </w:rPr>
        <w:t xml:space="preserve"> is the probability and can’t be greater than unity, from the above equation we can conclude that</w:t>
      </w:r>
    </w:p>
    <w:p w14:paraId="6B354485" w14:textId="77777777" w:rsidR="00B35E78" w:rsidRDefault="00B35E78" w:rsidP="00B35E78">
      <w:pPr>
        <w:contextualSpacing/>
        <w:jc w:val="both"/>
        <w:rPr>
          <w:sz w:val="24"/>
        </w:rPr>
      </w:pPr>
    </w:p>
    <w:p w14:paraId="75928512" w14:textId="77777777" w:rsidR="00B35E78" w:rsidRDefault="00B35E78" w:rsidP="00B35E78">
      <w:pPr>
        <w:contextualSpacing/>
        <w:jc w:val="both"/>
        <w:rPr>
          <w:sz w:val="24"/>
        </w:rPr>
      </w:pPr>
    </w:p>
    <w:p w14:paraId="1107ECF7" w14:textId="77777777" w:rsidR="00B35E78" w:rsidRDefault="00B35E78" w:rsidP="00B35E78">
      <w:pPr>
        <w:contextualSpacing/>
        <w:jc w:val="both"/>
        <w:rPr>
          <w:sz w:val="24"/>
        </w:rPr>
      </w:pPr>
      <w:r>
        <w:rPr>
          <w:sz w:val="24"/>
        </w:rPr>
        <w:t xml:space="preserve">                  </w:t>
      </w:r>
      <w:r w:rsidRPr="00791A1C">
        <w:rPr>
          <w:noProof/>
          <w:sz w:val="24"/>
        </w:rPr>
        <w:drawing>
          <wp:inline distT="0" distB="0" distL="0" distR="0" wp14:anchorId="5B52C1A5" wp14:editId="10DBBE45">
            <wp:extent cx="3950335" cy="2927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0335" cy="292735"/>
                    </a:xfrm>
                    <a:prstGeom prst="rect">
                      <a:avLst/>
                    </a:prstGeom>
                    <a:noFill/>
                    <a:ln>
                      <a:noFill/>
                    </a:ln>
                  </pic:spPr>
                </pic:pic>
              </a:graphicData>
            </a:graphic>
          </wp:inline>
        </w:drawing>
      </w:r>
    </w:p>
    <w:p w14:paraId="781A8915" w14:textId="77777777" w:rsidR="00B35E78" w:rsidRDefault="00B35E78" w:rsidP="00B35E78">
      <w:pPr>
        <w:contextualSpacing/>
        <w:jc w:val="both"/>
        <w:rPr>
          <w:sz w:val="24"/>
        </w:rPr>
      </w:pPr>
    </w:p>
    <w:p w14:paraId="2D09E42A" w14:textId="77777777" w:rsidR="00B35E78" w:rsidRDefault="00B35E78" w:rsidP="00B35E78">
      <w:pPr>
        <w:contextualSpacing/>
        <w:jc w:val="both"/>
        <w:rPr>
          <w:sz w:val="24"/>
        </w:rPr>
      </w:pPr>
      <w:r>
        <w:rPr>
          <w:sz w:val="24"/>
        </w:rPr>
        <w:t>Similarly</w:t>
      </w:r>
    </w:p>
    <w:p w14:paraId="6F82EAB5" w14:textId="77777777" w:rsidR="00B35E78" w:rsidRDefault="00B35E78" w:rsidP="00B35E78">
      <w:pPr>
        <w:contextualSpacing/>
        <w:jc w:val="both"/>
        <w:rPr>
          <w:sz w:val="24"/>
        </w:rPr>
      </w:pPr>
    </w:p>
    <w:p w14:paraId="0C731E97" w14:textId="77777777" w:rsidR="00B35E78" w:rsidRPr="00791A1C" w:rsidRDefault="00B35E78" w:rsidP="00B35E78">
      <w:pPr>
        <w:contextualSpacing/>
        <w:jc w:val="both"/>
        <w:rPr>
          <w:sz w:val="24"/>
        </w:rPr>
      </w:pPr>
      <w:r>
        <w:rPr>
          <w:noProof/>
          <w:sz w:val="24"/>
        </w:rPr>
        <w:t xml:space="preserve">                                </w:t>
      </w:r>
      <w:r w:rsidRPr="009D0E9D">
        <w:rPr>
          <w:noProof/>
          <w:sz w:val="24"/>
        </w:rPr>
        <w:drawing>
          <wp:inline distT="0" distB="0" distL="0" distR="0" wp14:anchorId="591F230C" wp14:editId="1A90763A">
            <wp:extent cx="2999105" cy="2927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105" cy="292735"/>
                    </a:xfrm>
                    <a:prstGeom prst="rect">
                      <a:avLst/>
                    </a:prstGeom>
                    <a:noFill/>
                    <a:ln>
                      <a:noFill/>
                    </a:ln>
                  </pic:spPr>
                </pic:pic>
              </a:graphicData>
            </a:graphic>
          </wp:inline>
        </w:drawing>
      </w:r>
    </w:p>
    <w:p w14:paraId="37692BA5" w14:textId="77777777" w:rsidR="00B35E78" w:rsidRDefault="00B35E78" w:rsidP="00B35E78">
      <w:pPr>
        <w:contextualSpacing/>
        <w:jc w:val="both"/>
        <w:rPr>
          <w:sz w:val="24"/>
        </w:rPr>
      </w:pPr>
    </w:p>
    <w:p w14:paraId="58BC39E6" w14:textId="77777777" w:rsidR="00B35E78" w:rsidRDefault="00B35E78" w:rsidP="00B35E78">
      <w:pPr>
        <w:contextualSpacing/>
        <w:jc w:val="both"/>
        <w:rPr>
          <w:sz w:val="24"/>
        </w:rPr>
      </w:pPr>
      <w:r>
        <w:rPr>
          <w:sz w:val="24"/>
        </w:rPr>
        <w:t>Hence to satisfy the above equation</w:t>
      </w:r>
    </w:p>
    <w:p w14:paraId="4806080B" w14:textId="77777777" w:rsidR="00B35E78" w:rsidRDefault="00B35E78" w:rsidP="00B35E78">
      <w:pPr>
        <w:contextualSpacing/>
        <w:jc w:val="both"/>
        <w:rPr>
          <w:sz w:val="24"/>
        </w:rPr>
      </w:pPr>
    </w:p>
    <w:p w14:paraId="2A6F5F85" w14:textId="77777777" w:rsidR="00B35E78" w:rsidRDefault="00B35E78" w:rsidP="00B35E78">
      <w:pPr>
        <w:contextualSpacing/>
        <w:jc w:val="both"/>
        <w:rPr>
          <w:sz w:val="24"/>
        </w:rPr>
      </w:pPr>
      <w:r>
        <w:rPr>
          <w:sz w:val="24"/>
        </w:rPr>
        <w:lastRenderedPageBreak/>
        <w:t xml:space="preserve">                                     </w:t>
      </w:r>
      <w:r w:rsidRPr="00487CD8">
        <w:rPr>
          <w:noProof/>
          <w:sz w:val="24"/>
        </w:rPr>
        <w:drawing>
          <wp:inline distT="0" distB="0" distL="0" distR="0" wp14:anchorId="33145401" wp14:editId="2DE78866">
            <wp:extent cx="2545715" cy="63627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5715" cy="636270"/>
                    </a:xfrm>
                    <a:prstGeom prst="rect">
                      <a:avLst/>
                    </a:prstGeom>
                    <a:noFill/>
                    <a:ln>
                      <a:noFill/>
                    </a:ln>
                  </pic:spPr>
                </pic:pic>
              </a:graphicData>
            </a:graphic>
          </wp:inline>
        </w:drawing>
      </w:r>
    </w:p>
    <w:p w14:paraId="0DB03CC6" w14:textId="77777777" w:rsidR="00B35E78" w:rsidRDefault="00B35E78" w:rsidP="00B35E78">
      <w:pPr>
        <w:contextualSpacing/>
        <w:jc w:val="both"/>
        <w:rPr>
          <w:sz w:val="24"/>
        </w:rPr>
      </w:pPr>
    </w:p>
    <w:p w14:paraId="3D182809" w14:textId="7828C3DB" w:rsidR="00B35E78" w:rsidRDefault="004E0FCF" w:rsidP="00B35E78">
      <w:pPr>
        <w:contextualSpacing/>
        <w:jc w:val="both"/>
        <w:rPr>
          <w:sz w:val="24"/>
          <w:vertAlign w:val="subscript"/>
        </w:rPr>
      </w:pPr>
      <w:r>
        <w:rPr>
          <w:sz w:val="24"/>
        </w:rPr>
        <w:t>Table 1</w:t>
      </w:r>
      <w:r w:rsidR="00B35E78">
        <w:rPr>
          <w:sz w:val="24"/>
        </w:rPr>
        <w:t xml:space="preserve"> shows the P</w:t>
      </w:r>
      <w:r w:rsidR="00B35E78" w:rsidRPr="002B7E73">
        <w:rPr>
          <w:sz w:val="24"/>
          <w:vertAlign w:val="subscript"/>
        </w:rPr>
        <w:t>dci</w:t>
      </w:r>
      <w:r w:rsidR="00B35E78">
        <w:rPr>
          <w:sz w:val="24"/>
          <w:vertAlign w:val="subscript"/>
        </w:rPr>
        <w:t xml:space="preserve">           </w:t>
      </w:r>
      <w:r w:rsidR="00B35E78">
        <w:rPr>
          <w:sz w:val="24"/>
        </w:rPr>
        <w:t xml:space="preserve">for a given Ppdsch. It can be observed that for a reasonable performance to meet the NR URLLC target requirements the PDCCH performance has to be enhanced significantly. </w:t>
      </w:r>
    </w:p>
    <w:p w14:paraId="77550524" w14:textId="77777777" w:rsidR="00A8361B" w:rsidRDefault="00A8361B" w:rsidP="00214BB7">
      <w:pPr>
        <w:contextualSpacing/>
        <w:jc w:val="both"/>
        <w:rPr>
          <w:sz w:val="24"/>
        </w:rPr>
      </w:pPr>
    </w:p>
    <w:p w14:paraId="323DDD3F" w14:textId="77777777" w:rsidR="00E5400D" w:rsidRDefault="00E5400D" w:rsidP="00214BB7">
      <w:pPr>
        <w:contextualSpacing/>
        <w:jc w:val="both"/>
        <w:rPr>
          <w:sz w:val="24"/>
          <w:vertAlign w:val="subscript"/>
        </w:rPr>
      </w:pPr>
    </w:p>
    <w:p w14:paraId="405E087E" w14:textId="7AC90687" w:rsidR="004E0FCF" w:rsidRDefault="004E0FCF" w:rsidP="004E0FCF">
      <w:pPr>
        <w:pStyle w:val="Caption"/>
        <w:keepNext/>
      </w:pPr>
      <w:r>
        <w:t xml:space="preserve">Table </w:t>
      </w:r>
      <w:r w:rsidR="00305419">
        <w:rPr>
          <w:noProof/>
        </w:rPr>
        <w:fldChar w:fldCharType="begin"/>
      </w:r>
      <w:r w:rsidR="00305419">
        <w:rPr>
          <w:noProof/>
        </w:rPr>
        <w:instrText xml:space="preserve"> SEQ Table \* ARABIC </w:instrText>
      </w:r>
      <w:r w:rsidR="00305419">
        <w:rPr>
          <w:noProof/>
        </w:rPr>
        <w:fldChar w:fldCharType="separate"/>
      </w:r>
      <w:r>
        <w:rPr>
          <w:noProof/>
        </w:rPr>
        <w:t>1</w:t>
      </w:r>
      <w:r w:rsidR="00305419">
        <w:rPr>
          <w:noProof/>
        </w:rPr>
        <w:fldChar w:fldCharType="end"/>
      </w:r>
      <w:r>
        <w:t xml:space="preserve"> Required probability of block error rate for PDCCH for downlink data transmission</w:t>
      </w:r>
    </w:p>
    <w:tbl>
      <w:tblPr>
        <w:tblStyle w:val="GridTable3-Accent2"/>
        <w:tblW w:w="0" w:type="auto"/>
        <w:tblLook w:val="0000" w:firstRow="0" w:lastRow="0" w:firstColumn="0" w:lastColumn="0" w:noHBand="0" w:noVBand="0"/>
      </w:tblPr>
      <w:tblGrid>
        <w:gridCol w:w="2802"/>
        <w:gridCol w:w="1166"/>
        <w:gridCol w:w="732"/>
        <w:gridCol w:w="823"/>
        <w:gridCol w:w="953"/>
        <w:gridCol w:w="1100"/>
        <w:gridCol w:w="1132"/>
        <w:gridCol w:w="1254"/>
      </w:tblGrid>
      <w:tr w:rsidR="007D319B" w14:paraId="6307EFCF" w14:textId="77777777" w:rsidTr="004E0FCF">
        <w:trPr>
          <w:cnfStyle w:val="000000100000" w:firstRow="0" w:lastRow="0" w:firstColumn="0" w:lastColumn="0" w:oddVBand="0" w:evenVBand="0" w:oddHBand="1" w:evenHBand="0" w:firstRowFirstColumn="0" w:firstRowLastColumn="0" w:lastRowFirstColumn="0" w:lastRowLastColumn="0"/>
          <w:trHeight w:val="495"/>
        </w:trPr>
        <w:tc>
          <w:tcPr>
            <w:cnfStyle w:val="000010000000" w:firstRow="0" w:lastRow="0" w:firstColumn="0" w:lastColumn="0" w:oddVBand="1" w:evenVBand="0" w:oddHBand="0" w:evenHBand="0" w:firstRowFirstColumn="0" w:firstRowLastColumn="0" w:lastRowFirstColumn="0" w:lastRowLastColumn="0"/>
            <w:tcW w:w="2802" w:type="dxa"/>
            <w:vMerge w:val="restart"/>
          </w:tcPr>
          <w:p w14:paraId="7F0B082A" w14:textId="0B4A7AEE" w:rsidR="007D319B" w:rsidRPr="00E5400D" w:rsidRDefault="007D319B" w:rsidP="00E5400D">
            <w:pPr>
              <w:jc w:val="both"/>
              <w:rPr>
                <w:b/>
                <w:sz w:val="24"/>
                <w:szCs w:val="28"/>
              </w:rPr>
            </w:pPr>
            <w:r>
              <w:rPr>
                <w:b/>
                <w:sz w:val="24"/>
                <w:szCs w:val="28"/>
              </w:rPr>
              <w:t>P</w:t>
            </w:r>
            <w:r w:rsidRPr="00E5400D">
              <w:rPr>
                <w:b/>
                <w:sz w:val="24"/>
                <w:szCs w:val="28"/>
                <w:vertAlign w:val="subscript"/>
              </w:rPr>
              <w:t>R</w:t>
            </w:r>
            <w:r>
              <w:rPr>
                <w:b/>
                <w:sz w:val="24"/>
                <w:szCs w:val="28"/>
                <w:vertAlign w:val="subscript"/>
              </w:rPr>
              <w:t xml:space="preserve"> </w:t>
            </w:r>
            <w:r>
              <w:rPr>
                <w:b/>
                <w:sz w:val="24"/>
                <w:szCs w:val="28"/>
              </w:rPr>
              <w:t>in percentage</w:t>
            </w:r>
          </w:p>
          <w:p w14:paraId="654535B5" w14:textId="77777777" w:rsidR="007D319B" w:rsidRDefault="007D319B" w:rsidP="00E253D2">
            <w:pPr>
              <w:pStyle w:val="ListParagraph"/>
              <w:ind w:left="360"/>
              <w:jc w:val="both"/>
              <w:rPr>
                <w:b/>
                <w:sz w:val="24"/>
                <w:szCs w:val="28"/>
              </w:rPr>
            </w:pPr>
          </w:p>
        </w:tc>
        <w:tc>
          <w:tcPr>
            <w:tcW w:w="7160" w:type="dxa"/>
            <w:gridSpan w:val="7"/>
            <w:tcBorders>
              <w:bottom w:val="single" w:sz="4" w:space="0" w:color="auto"/>
            </w:tcBorders>
          </w:tcPr>
          <w:p w14:paraId="1FDDC335" w14:textId="7A61958F" w:rsidR="007D319B" w:rsidRPr="00E5400D" w:rsidRDefault="007D319B" w:rsidP="00E5400D">
            <w:pPr>
              <w:jc w:val="both"/>
              <w:cnfStyle w:val="000000100000" w:firstRow="0" w:lastRow="0" w:firstColumn="0" w:lastColumn="0" w:oddVBand="0" w:evenVBand="0" w:oddHBand="1" w:evenHBand="0" w:firstRowFirstColumn="0" w:firstRowLastColumn="0" w:lastRowFirstColumn="0" w:lastRowLastColumn="0"/>
              <w:rPr>
                <w:b/>
                <w:sz w:val="24"/>
                <w:szCs w:val="28"/>
              </w:rPr>
            </w:pPr>
            <w:r>
              <w:rPr>
                <w:rFonts w:ascii="Calibri" w:eastAsia="Calibri" w:hAnsi="Calibri"/>
                <w:b/>
                <w:sz w:val="24"/>
                <w:szCs w:val="28"/>
              </w:rPr>
              <w:t xml:space="preserve">                  </w:t>
            </w:r>
            <w:r w:rsidR="00E253D2">
              <w:rPr>
                <w:rFonts w:ascii="Calibri" w:eastAsia="Calibri" w:hAnsi="Calibri"/>
                <w:b/>
                <w:sz w:val="24"/>
                <w:szCs w:val="28"/>
              </w:rPr>
              <w:t xml:space="preserve">                </w:t>
            </w:r>
            <w:r>
              <w:rPr>
                <w:rFonts w:ascii="Calibri" w:eastAsia="Calibri" w:hAnsi="Calibri"/>
                <w:b/>
                <w:sz w:val="24"/>
                <w:szCs w:val="28"/>
              </w:rPr>
              <w:t xml:space="preserve">   P</w:t>
            </w:r>
            <w:r w:rsidR="00DE6773">
              <w:rPr>
                <w:rFonts w:ascii="Calibri" w:eastAsia="Calibri" w:hAnsi="Calibri"/>
                <w:b/>
                <w:sz w:val="24"/>
                <w:szCs w:val="28"/>
                <w:vertAlign w:val="subscript"/>
              </w:rPr>
              <w:t>dc</w:t>
            </w:r>
            <w:r>
              <w:rPr>
                <w:rFonts w:ascii="Calibri" w:eastAsia="Calibri" w:hAnsi="Calibri"/>
                <w:b/>
                <w:sz w:val="24"/>
                <w:szCs w:val="28"/>
                <w:vertAlign w:val="subscript"/>
              </w:rPr>
              <w:t>i</w:t>
            </w:r>
            <w:r w:rsidR="00E253D2">
              <w:rPr>
                <w:rFonts w:ascii="Calibri" w:eastAsia="Calibri" w:hAnsi="Calibri"/>
                <w:b/>
                <w:sz w:val="24"/>
                <w:szCs w:val="28"/>
                <w:vertAlign w:val="subscript"/>
              </w:rPr>
              <w:t xml:space="preserve">      </w:t>
            </w:r>
          </w:p>
          <w:p w14:paraId="0F755B1E" w14:textId="77777777" w:rsidR="007D319B" w:rsidRDefault="007D319B" w:rsidP="00E253D2">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r>
      <w:tr w:rsidR="00E253D2" w14:paraId="093F29C7" w14:textId="77777777" w:rsidTr="004E0FCF">
        <w:trPr>
          <w:trHeight w:val="419"/>
        </w:trPr>
        <w:tc>
          <w:tcPr>
            <w:cnfStyle w:val="000010000000" w:firstRow="0" w:lastRow="0" w:firstColumn="0" w:lastColumn="0" w:oddVBand="1" w:evenVBand="0" w:oddHBand="0" w:evenHBand="0" w:firstRowFirstColumn="0" w:firstRowLastColumn="0" w:lastRowFirstColumn="0" w:lastRowLastColumn="0"/>
            <w:tcW w:w="2802" w:type="dxa"/>
            <w:vMerge/>
          </w:tcPr>
          <w:p w14:paraId="3ED0455F" w14:textId="77777777" w:rsidR="00E253D2" w:rsidRDefault="00E253D2" w:rsidP="00E5400D">
            <w:pPr>
              <w:jc w:val="both"/>
              <w:rPr>
                <w:b/>
                <w:sz w:val="24"/>
                <w:szCs w:val="28"/>
              </w:rPr>
            </w:pPr>
          </w:p>
        </w:tc>
        <w:tc>
          <w:tcPr>
            <w:tcW w:w="7160" w:type="dxa"/>
            <w:gridSpan w:val="7"/>
            <w:tcBorders>
              <w:top w:val="single" w:sz="4" w:space="0" w:color="auto"/>
              <w:bottom w:val="single" w:sz="4" w:space="0" w:color="auto"/>
            </w:tcBorders>
          </w:tcPr>
          <w:p w14:paraId="57022B2C" w14:textId="6C888430" w:rsidR="00E253D2" w:rsidRDefault="00E253D2" w:rsidP="00E253D2">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 xml:space="preserve">                    Ppdsch</w:t>
            </w:r>
          </w:p>
        </w:tc>
      </w:tr>
      <w:tr w:rsidR="007D319B" w14:paraId="0D6D423A" w14:textId="1DD89796" w:rsidTr="004E0FCF">
        <w:trPr>
          <w:cnfStyle w:val="000000100000" w:firstRow="0" w:lastRow="0" w:firstColumn="0" w:lastColumn="0" w:oddVBand="0" w:evenVBand="0" w:oddHBand="1" w:evenHBand="0" w:firstRowFirstColumn="0" w:firstRowLastColumn="0" w:lastRowFirstColumn="0" w:lastRowLastColumn="0"/>
          <w:trHeight w:val="647"/>
        </w:trPr>
        <w:tc>
          <w:tcPr>
            <w:cnfStyle w:val="000010000000" w:firstRow="0" w:lastRow="0" w:firstColumn="0" w:lastColumn="0" w:oddVBand="1" w:evenVBand="0" w:oddHBand="0" w:evenHBand="0" w:firstRowFirstColumn="0" w:firstRowLastColumn="0" w:lastRowFirstColumn="0" w:lastRowLastColumn="0"/>
            <w:tcW w:w="2802" w:type="dxa"/>
            <w:vMerge/>
          </w:tcPr>
          <w:p w14:paraId="682CDCC7" w14:textId="77777777" w:rsidR="007D319B" w:rsidRDefault="007D319B" w:rsidP="00E5400D">
            <w:pPr>
              <w:jc w:val="both"/>
              <w:rPr>
                <w:b/>
                <w:sz w:val="24"/>
                <w:szCs w:val="28"/>
              </w:rPr>
            </w:pPr>
          </w:p>
        </w:tc>
        <w:tc>
          <w:tcPr>
            <w:tcW w:w="1166" w:type="dxa"/>
            <w:tcBorders>
              <w:top w:val="single" w:sz="4" w:space="0" w:color="auto"/>
              <w:right w:val="single" w:sz="4" w:space="0" w:color="auto"/>
            </w:tcBorders>
          </w:tcPr>
          <w:p w14:paraId="1C1EAEFD" w14:textId="55234B30"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0.1</w:t>
            </w:r>
          </w:p>
        </w:tc>
        <w:tc>
          <w:tcPr>
            <w:cnfStyle w:val="000010000000" w:firstRow="0" w:lastRow="0" w:firstColumn="0" w:lastColumn="0" w:oddVBand="1" w:evenVBand="0" w:oddHBand="0" w:evenHBand="0" w:firstRowFirstColumn="0" w:firstRowLastColumn="0" w:lastRowFirstColumn="0" w:lastRowLastColumn="0"/>
            <w:tcW w:w="732" w:type="dxa"/>
            <w:tcBorders>
              <w:top w:val="single" w:sz="4" w:space="0" w:color="auto"/>
              <w:right w:val="single" w:sz="4" w:space="0" w:color="auto"/>
            </w:tcBorders>
          </w:tcPr>
          <w:p w14:paraId="414397B7" w14:textId="221F259E" w:rsidR="007D319B" w:rsidRPr="007D319B" w:rsidRDefault="007D319B" w:rsidP="007D319B">
            <w:pPr>
              <w:jc w:val="both"/>
              <w:rPr>
                <w:b/>
                <w:sz w:val="24"/>
                <w:szCs w:val="28"/>
              </w:rPr>
            </w:pPr>
            <w:r>
              <w:rPr>
                <w:b/>
                <w:sz w:val="24"/>
                <w:szCs w:val="28"/>
              </w:rPr>
              <w:t>0.01</w:t>
            </w:r>
          </w:p>
        </w:tc>
        <w:tc>
          <w:tcPr>
            <w:tcW w:w="823" w:type="dxa"/>
            <w:tcBorders>
              <w:top w:val="single" w:sz="4" w:space="0" w:color="auto"/>
              <w:left w:val="single" w:sz="4" w:space="0" w:color="auto"/>
            </w:tcBorders>
          </w:tcPr>
          <w:p w14:paraId="5BB23347" w14:textId="1B9EDE73"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sidRPr="007D319B">
              <w:rPr>
                <w:b/>
                <w:sz w:val="24"/>
                <w:szCs w:val="28"/>
              </w:rPr>
              <w:t>0.001</w:t>
            </w:r>
          </w:p>
        </w:tc>
        <w:tc>
          <w:tcPr>
            <w:cnfStyle w:val="000010000000" w:firstRow="0" w:lastRow="0" w:firstColumn="0" w:lastColumn="0" w:oddVBand="1" w:evenVBand="0" w:oddHBand="0" w:evenHBand="0" w:firstRowFirstColumn="0" w:firstRowLastColumn="0" w:lastRowFirstColumn="0" w:lastRowLastColumn="0"/>
            <w:tcW w:w="953" w:type="dxa"/>
            <w:tcBorders>
              <w:top w:val="single" w:sz="4" w:space="0" w:color="auto"/>
              <w:left w:val="single" w:sz="4" w:space="0" w:color="auto"/>
            </w:tcBorders>
          </w:tcPr>
          <w:p w14:paraId="0A9A57E2" w14:textId="54D12FA0" w:rsidR="007D319B" w:rsidRPr="007D319B" w:rsidRDefault="007D319B" w:rsidP="007D319B">
            <w:pPr>
              <w:jc w:val="both"/>
              <w:rPr>
                <w:b/>
                <w:sz w:val="24"/>
                <w:szCs w:val="28"/>
              </w:rPr>
            </w:pPr>
            <w:r w:rsidRPr="007D319B">
              <w:rPr>
                <w:b/>
                <w:sz w:val="24"/>
                <w:szCs w:val="28"/>
              </w:rPr>
              <w:t>0.0001</w:t>
            </w:r>
          </w:p>
        </w:tc>
        <w:tc>
          <w:tcPr>
            <w:tcW w:w="1100" w:type="dxa"/>
            <w:tcBorders>
              <w:top w:val="single" w:sz="4" w:space="0" w:color="auto"/>
              <w:left w:val="single" w:sz="4" w:space="0" w:color="auto"/>
            </w:tcBorders>
          </w:tcPr>
          <w:p w14:paraId="39FBE273" w14:textId="69C77C9B"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0.00001</w:t>
            </w:r>
          </w:p>
        </w:tc>
        <w:tc>
          <w:tcPr>
            <w:cnfStyle w:val="000010000000" w:firstRow="0" w:lastRow="0" w:firstColumn="0" w:lastColumn="0" w:oddVBand="1" w:evenVBand="0" w:oddHBand="0" w:evenHBand="0" w:firstRowFirstColumn="0" w:firstRowLastColumn="0" w:lastRowFirstColumn="0" w:lastRowLastColumn="0"/>
            <w:tcW w:w="1132" w:type="dxa"/>
            <w:tcBorders>
              <w:top w:val="single" w:sz="4" w:space="0" w:color="auto"/>
              <w:left w:val="single" w:sz="4" w:space="0" w:color="auto"/>
            </w:tcBorders>
          </w:tcPr>
          <w:p w14:paraId="53D441D0" w14:textId="4DAE42EA" w:rsidR="007D319B" w:rsidRPr="007D319B" w:rsidRDefault="007D319B" w:rsidP="007D319B">
            <w:pPr>
              <w:jc w:val="both"/>
              <w:rPr>
                <w:b/>
                <w:sz w:val="24"/>
                <w:szCs w:val="28"/>
              </w:rPr>
            </w:pPr>
            <w:r>
              <w:rPr>
                <w:b/>
                <w:sz w:val="24"/>
                <w:szCs w:val="28"/>
              </w:rPr>
              <w:t>0.000001</w:t>
            </w:r>
          </w:p>
        </w:tc>
        <w:tc>
          <w:tcPr>
            <w:tcW w:w="1254" w:type="dxa"/>
            <w:tcBorders>
              <w:top w:val="single" w:sz="4" w:space="0" w:color="auto"/>
              <w:left w:val="single" w:sz="4" w:space="0" w:color="auto"/>
            </w:tcBorders>
          </w:tcPr>
          <w:p w14:paraId="193C1110" w14:textId="249F7656"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0.0000001</w:t>
            </w:r>
          </w:p>
        </w:tc>
      </w:tr>
      <w:tr w:rsidR="007D319B" w14:paraId="3CDC94C0" w14:textId="6C3A9C7E" w:rsidTr="004E0FCF">
        <w:trPr>
          <w:trHeight w:val="590"/>
        </w:trPr>
        <w:tc>
          <w:tcPr>
            <w:cnfStyle w:val="000010000000" w:firstRow="0" w:lastRow="0" w:firstColumn="0" w:lastColumn="0" w:oddVBand="1" w:evenVBand="0" w:oddHBand="0" w:evenHBand="0" w:firstRowFirstColumn="0" w:firstRowLastColumn="0" w:lastRowFirstColumn="0" w:lastRowLastColumn="0"/>
            <w:tcW w:w="2802" w:type="dxa"/>
          </w:tcPr>
          <w:p w14:paraId="5D7FDE7A" w14:textId="389C131D" w:rsidR="007D319B" w:rsidRDefault="007D319B" w:rsidP="00E5400D">
            <w:pPr>
              <w:jc w:val="both"/>
              <w:rPr>
                <w:b/>
                <w:sz w:val="24"/>
                <w:szCs w:val="28"/>
              </w:rPr>
            </w:pPr>
            <w:r>
              <w:rPr>
                <w:b/>
                <w:sz w:val="24"/>
                <w:szCs w:val="28"/>
              </w:rPr>
              <w:t>99.9999</w:t>
            </w:r>
          </w:p>
        </w:tc>
        <w:tc>
          <w:tcPr>
            <w:tcW w:w="1166" w:type="dxa"/>
            <w:tcBorders>
              <w:right w:val="single" w:sz="4" w:space="0" w:color="auto"/>
            </w:tcBorders>
          </w:tcPr>
          <w:p w14:paraId="0D86E05D" w14:textId="721BC7C3"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71374684" w14:textId="5E515AF8"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43A78821" w14:textId="5EE3A582"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13C175C4" w14:textId="183FB3DB"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tcPr>
          <w:p w14:paraId="059AA157" w14:textId="7A11CF04"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tcPr>
          <w:p w14:paraId="00146129" w14:textId="20766BC9"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254" w:type="dxa"/>
            <w:tcBorders>
              <w:left w:val="single" w:sz="4" w:space="0" w:color="auto"/>
            </w:tcBorders>
            <w:shd w:val="clear" w:color="auto" w:fill="5B9BD5" w:themeFill="accent1"/>
          </w:tcPr>
          <w:p w14:paraId="1F927926" w14:textId="503F1E33"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0.0000009</w:t>
            </w:r>
          </w:p>
        </w:tc>
      </w:tr>
      <w:tr w:rsidR="007D319B" w14:paraId="74E0F4DC" w14:textId="19CD2CD5" w:rsidTr="004E0FCF">
        <w:trPr>
          <w:cnfStyle w:val="000000100000" w:firstRow="0" w:lastRow="0" w:firstColumn="0" w:lastColumn="0" w:oddVBand="0" w:evenVBand="0" w:oddHBand="1" w:evenHBand="0" w:firstRowFirstColumn="0" w:firstRowLastColumn="0" w:lastRowFirstColumn="0" w:lastRowLastColumn="0"/>
          <w:trHeight w:val="590"/>
        </w:trPr>
        <w:tc>
          <w:tcPr>
            <w:cnfStyle w:val="000010000000" w:firstRow="0" w:lastRow="0" w:firstColumn="0" w:lastColumn="0" w:oddVBand="1" w:evenVBand="0" w:oddHBand="0" w:evenHBand="0" w:firstRowFirstColumn="0" w:firstRowLastColumn="0" w:lastRowFirstColumn="0" w:lastRowLastColumn="0"/>
            <w:tcW w:w="2802" w:type="dxa"/>
          </w:tcPr>
          <w:p w14:paraId="751F15E1" w14:textId="569600B9" w:rsidR="007D319B" w:rsidRDefault="007D319B" w:rsidP="00E5400D">
            <w:pPr>
              <w:jc w:val="both"/>
              <w:rPr>
                <w:b/>
                <w:sz w:val="24"/>
                <w:szCs w:val="28"/>
              </w:rPr>
            </w:pPr>
            <w:r>
              <w:rPr>
                <w:b/>
                <w:sz w:val="24"/>
                <w:szCs w:val="28"/>
              </w:rPr>
              <w:t>99.999</w:t>
            </w:r>
          </w:p>
        </w:tc>
        <w:tc>
          <w:tcPr>
            <w:tcW w:w="1166" w:type="dxa"/>
            <w:tcBorders>
              <w:right w:val="single" w:sz="4" w:space="0" w:color="auto"/>
            </w:tcBorders>
          </w:tcPr>
          <w:p w14:paraId="449741B6" w14:textId="5138300B" w:rsidR="007D319B" w:rsidRDefault="007D319B" w:rsidP="00E253D2">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438A45BE" w14:textId="7397F24E"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2F513D92" w14:textId="27379226" w:rsidR="007D319B" w:rsidRDefault="007D319B" w:rsidP="00E253D2">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0E624C0E" w14:textId="19EE805E"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tcPr>
          <w:p w14:paraId="75C5ADBF" w14:textId="6DBF5157" w:rsidR="007D319B" w:rsidRDefault="007D319B" w:rsidP="00E253D2">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shd w:val="clear" w:color="auto" w:fill="5B9BD5" w:themeFill="accent1"/>
          </w:tcPr>
          <w:p w14:paraId="6F3E2A51" w14:textId="6F05D07A"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sidRPr="007D319B">
              <w:rPr>
                <w:rFonts w:ascii="Calibri" w:eastAsia="Calibri" w:hAnsi="Calibri"/>
                <w:b/>
                <w:sz w:val="24"/>
                <w:szCs w:val="28"/>
              </w:rPr>
              <w:t>0.000009</w:t>
            </w:r>
          </w:p>
        </w:tc>
        <w:tc>
          <w:tcPr>
            <w:tcW w:w="1254" w:type="dxa"/>
            <w:tcBorders>
              <w:left w:val="single" w:sz="4" w:space="0" w:color="auto"/>
            </w:tcBorders>
            <w:shd w:val="clear" w:color="auto" w:fill="5B9BD5" w:themeFill="accent1"/>
          </w:tcPr>
          <w:p w14:paraId="6F3D9DA0" w14:textId="6FCA1186" w:rsidR="007D319B" w:rsidRDefault="007D319B" w:rsidP="007D319B">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0.0000099</w:t>
            </w:r>
          </w:p>
        </w:tc>
      </w:tr>
      <w:tr w:rsidR="007D319B" w14:paraId="379BB758" w14:textId="6D0B217D" w:rsidTr="004E0FCF">
        <w:trPr>
          <w:trHeight w:val="590"/>
        </w:trPr>
        <w:tc>
          <w:tcPr>
            <w:cnfStyle w:val="000010000000" w:firstRow="0" w:lastRow="0" w:firstColumn="0" w:lastColumn="0" w:oddVBand="1" w:evenVBand="0" w:oddHBand="0" w:evenHBand="0" w:firstRowFirstColumn="0" w:firstRowLastColumn="0" w:lastRowFirstColumn="0" w:lastRowLastColumn="0"/>
            <w:tcW w:w="2802" w:type="dxa"/>
          </w:tcPr>
          <w:p w14:paraId="43A26491" w14:textId="53A69418" w:rsidR="007D319B" w:rsidRDefault="007D319B" w:rsidP="00E5400D">
            <w:pPr>
              <w:jc w:val="both"/>
              <w:rPr>
                <w:b/>
                <w:sz w:val="24"/>
                <w:szCs w:val="28"/>
              </w:rPr>
            </w:pPr>
            <w:r>
              <w:rPr>
                <w:b/>
                <w:sz w:val="24"/>
                <w:szCs w:val="28"/>
              </w:rPr>
              <w:t>99.99</w:t>
            </w:r>
          </w:p>
        </w:tc>
        <w:tc>
          <w:tcPr>
            <w:tcW w:w="1166" w:type="dxa"/>
            <w:tcBorders>
              <w:right w:val="single" w:sz="4" w:space="0" w:color="auto"/>
            </w:tcBorders>
          </w:tcPr>
          <w:p w14:paraId="47F8EC43" w14:textId="3149FA94"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12C6EF6F" w14:textId="7E1EC4FF"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7559863E" w14:textId="7D78648B"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3EEBD158" w14:textId="0EB616B8"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shd w:val="clear" w:color="auto" w:fill="5B9BD5" w:themeFill="accent1"/>
          </w:tcPr>
          <w:p w14:paraId="19ED1C7B" w14:textId="59734287"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0.00009</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shd w:val="clear" w:color="auto" w:fill="5B9BD5" w:themeFill="accent1"/>
          </w:tcPr>
          <w:p w14:paraId="4F0A2AFC" w14:textId="61DC0853"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sidRPr="007D319B">
              <w:rPr>
                <w:rFonts w:ascii="Calibri" w:eastAsia="Calibri" w:hAnsi="Calibri"/>
                <w:b/>
                <w:sz w:val="24"/>
                <w:szCs w:val="28"/>
              </w:rPr>
              <w:t>0.000099</w:t>
            </w:r>
          </w:p>
        </w:tc>
        <w:tc>
          <w:tcPr>
            <w:tcW w:w="1254" w:type="dxa"/>
            <w:tcBorders>
              <w:left w:val="single" w:sz="4" w:space="0" w:color="auto"/>
            </w:tcBorders>
            <w:shd w:val="clear" w:color="auto" w:fill="5B9BD5" w:themeFill="accent1"/>
          </w:tcPr>
          <w:p w14:paraId="5F10B4B7" w14:textId="3AD28138" w:rsidR="007D319B" w:rsidRDefault="007D319B" w:rsidP="007D319B">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0.0000999</w:t>
            </w:r>
          </w:p>
        </w:tc>
      </w:tr>
    </w:tbl>
    <w:p w14:paraId="3095E8D5" w14:textId="77777777" w:rsidR="002D5FAF" w:rsidRDefault="002D5FAF" w:rsidP="00214BB7">
      <w:pPr>
        <w:contextualSpacing/>
        <w:jc w:val="both"/>
        <w:rPr>
          <w:sz w:val="24"/>
        </w:rPr>
      </w:pPr>
    </w:p>
    <w:p w14:paraId="3DAF3D53" w14:textId="47078E11" w:rsidR="006C0C47" w:rsidRDefault="006C0C47" w:rsidP="00214BB7">
      <w:pPr>
        <w:contextualSpacing/>
        <w:jc w:val="both"/>
        <w:rPr>
          <w:sz w:val="24"/>
        </w:rPr>
      </w:pPr>
      <w:r>
        <w:rPr>
          <w:sz w:val="24"/>
        </w:rPr>
        <w:t>From the observations in the TR for URLLC, we noted that for majority of the cases, the Release 15 PDCCH satisfies the URLLC requirements.  In addition, the having scheduling restriction on the URLLC services is not beneficial from deployment point of view, we prefer to Option 5 for Release 16. This is because the fall back DCI (around 40 bits) is already compact and we don’t see any need for another DCI design.</w:t>
      </w:r>
    </w:p>
    <w:p w14:paraId="5FE036AE" w14:textId="77777777" w:rsidR="006C0C47" w:rsidRDefault="006C0C47" w:rsidP="00214BB7">
      <w:pPr>
        <w:contextualSpacing/>
        <w:jc w:val="both"/>
        <w:rPr>
          <w:sz w:val="24"/>
        </w:rPr>
      </w:pPr>
    </w:p>
    <w:p w14:paraId="6D4A38E1" w14:textId="77777777" w:rsidR="006C0C47" w:rsidRPr="00301259" w:rsidRDefault="006C0C47" w:rsidP="006C0C47">
      <w:pPr>
        <w:pStyle w:val="ListParagraph"/>
        <w:numPr>
          <w:ilvl w:val="1"/>
          <w:numId w:val="44"/>
        </w:numPr>
        <w:autoSpaceDE w:val="0"/>
        <w:autoSpaceDN w:val="0"/>
        <w:adjustRightInd w:val="0"/>
        <w:snapToGrid w:val="0"/>
        <w:spacing w:after="120"/>
        <w:contextualSpacing/>
        <w:jc w:val="both"/>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53750813" w14:textId="77777777" w:rsidR="006C0C47" w:rsidRPr="00301259" w:rsidRDefault="006C0C47" w:rsidP="006C0C47">
      <w:pPr>
        <w:pStyle w:val="ListParagraph"/>
        <w:numPr>
          <w:ilvl w:val="1"/>
          <w:numId w:val="44"/>
        </w:numPr>
        <w:autoSpaceDE w:val="0"/>
        <w:autoSpaceDN w:val="0"/>
        <w:adjustRightInd w:val="0"/>
        <w:snapToGrid w:val="0"/>
        <w:spacing w:after="120"/>
        <w:contextualSpacing/>
        <w:jc w:val="both"/>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4BC38FF4" w14:textId="77777777" w:rsidR="006C0C47" w:rsidRPr="00301259" w:rsidRDefault="006C0C47" w:rsidP="006C0C47">
      <w:pPr>
        <w:pStyle w:val="ListParagraph"/>
        <w:numPr>
          <w:ilvl w:val="1"/>
          <w:numId w:val="44"/>
        </w:numPr>
        <w:autoSpaceDE w:val="0"/>
        <w:autoSpaceDN w:val="0"/>
        <w:adjustRightInd w:val="0"/>
        <w:snapToGrid w:val="0"/>
        <w:spacing w:after="120"/>
        <w:contextualSpacing/>
        <w:jc w:val="both"/>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28764F52" w14:textId="77777777" w:rsidR="006C0C47" w:rsidRPr="00301259" w:rsidRDefault="006C0C47" w:rsidP="006C0C47">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5DCDC1CC" w14:textId="77777777" w:rsidR="006C0C47" w:rsidRDefault="006C0C47" w:rsidP="006C0C47">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Maximum size should be equal to the DCI format size of Rel-15 fallback DCI</w:t>
      </w:r>
    </w:p>
    <w:p w14:paraId="3990941D" w14:textId="77777777" w:rsidR="006C0C47" w:rsidRPr="00301259" w:rsidRDefault="006C0C47" w:rsidP="006C0C47">
      <w:pPr>
        <w:pStyle w:val="ListParagraph"/>
        <w:numPr>
          <w:ilvl w:val="1"/>
          <w:numId w:val="44"/>
        </w:numPr>
        <w:autoSpaceDE w:val="0"/>
        <w:autoSpaceDN w:val="0"/>
        <w:adjustRightInd w:val="0"/>
        <w:snapToGrid w:val="0"/>
        <w:spacing w:after="120"/>
        <w:contextualSpacing/>
        <w:jc w:val="both"/>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7A8EF0AD" w14:textId="77777777" w:rsidR="006C0C47" w:rsidRPr="00301259" w:rsidRDefault="006C0C47" w:rsidP="006C0C47">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The maximum DCI size can be larger than Rel-15 fallback DCI</w:t>
      </w:r>
    </w:p>
    <w:p w14:paraId="58B41C60" w14:textId="77777777" w:rsidR="006C0C47" w:rsidRPr="00301259" w:rsidRDefault="006C0C47" w:rsidP="006C0C47">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The minimum DCI size target a reduction of 10~16 bits less than the DCI format size of Rel-15 fallback DCI</w:t>
      </w:r>
    </w:p>
    <w:p w14:paraId="10B16EB6" w14:textId="77777777" w:rsidR="006C0C47" w:rsidRDefault="006C0C47" w:rsidP="006C0C47">
      <w:pPr>
        <w:pStyle w:val="ListParagraph"/>
        <w:numPr>
          <w:ilvl w:val="2"/>
          <w:numId w:val="44"/>
        </w:numPr>
        <w:autoSpaceDE w:val="0"/>
        <w:autoSpaceDN w:val="0"/>
        <w:adjustRightInd w:val="0"/>
        <w:snapToGrid w:val="0"/>
        <w:spacing w:after="120"/>
        <w:contextualSpacing/>
        <w:jc w:val="both"/>
        <w:rPr>
          <w:kern w:val="2"/>
          <w:lang w:eastAsia="zh-CN"/>
        </w:rPr>
      </w:pPr>
      <w:r w:rsidRPr="00301259">
        <w:rPr>
          <w:kern w:val="2"/>
          <w:lang w:eastAsia="zh-CN"/>
        </w:rPr>
        <w:t>Provide the possibility to align with the size of the Rel-15 fallback DCI (including possible zero padding if any)</w:t>
      </w:r>
    </w:p>
    <w:p w14:paraId="01F0FBCF" w14:textId="77777777" w:rsidR="006C0C47" w:rsidRPr="006C0C47" w:rsidRDefault="006C0C47" w:rsidP="006C0C47">
      <w:pPr>
        <w:pStyle w:val="ListParagraph"/>
        <w:numPr>
          <w:ilvl w:val="1"/>
          <w:numId w:val="44"/>
        </w:numPr>
        <w:autoSpaceDE w:val="0"/>
        <w:autoSpaceDN w:val="0"/>
        <w:adjustRightInd w:val="0"/>
        <w:snapToGrid w:val="0"/>
        <w:spacing w:after="120"/>
        <w:contextualSpacing/>
        <w:jc w:val="both"/>
        <w:rPr>
          <w:b/>
          <w:kern w:val="2"/>
          <w:lang w:eastAsia="zh-CN"/>
        </w:rPr>
      </w:pPr>
      <w:r w:rsidRPr="006C0C47">
        <w:rPr>
          <w:b/>
          <w:kern w:val="2"/>
          <w:lang w:eastAsia="zh-CN"/>
        </w:rPr>
        <w:t>Option 5: no introduction of new DCI format due to this SI</w:t>
      </w:r>
    </w:p>
    <w:p w14:paraId="5AD5C609" w14:textId="77777777" w:rsidR="006C0C47" w:rsidRDefault="006C0C47" w:rsidP="00214BB7">
      <w:pPr>
        <w:contextualSpacing/>
        <w:jc w:val="both"/>
        <w:rPr>
          <w:sz w:val="24"/>
        </w:rPr>
      </w:pPr>
    </w:p>
    <w:p w14:paraId="49123DA7" w14:textId="061644F0" w:rsidR="002D5FAF" w:rsidRDefault="006C0C47" w:rsidP="002D5FAF">
      <w:pPr>
        <w:contextualSpacing/>
        <w:rPr>
          <w:b/>
          <w:sz w:val="24"/>
          <w:szCs w:val="24"/>
        </w:rPr>
      </w:pPr>
      <w:r>
        <w:rPr>
          <w:b/>
          <w:noProof/>
          <w:sz w:val="24"/>
          <w:szCs w:val="24"/>
        </w:rPr>
        <w:t xml:space="preserve">Proposal </w:t>
      </w:r>
      <w:r w:rsidR="002D5FAF" w:rsidRPr="00214BB7">
        <w:rPr>
          <w:b/>
          <w:noProof/>
          <w:sz w:val="24"/>
          <w:szCs w:val="24"/>
        </w:rPr>
        <w:t>:</w:t>
      </w:r>
      <w:r w:rsidR="002D5FAF" w:rsidRPr="00214BB7">
        <w:rPr>
          <w:b/>
          <w:sz w:val="24"/>
          <w:szCs w:val="24"/>
        </w:rPr>
        <w:t xml:space="preserve">  </w:t>
      </w:r>
      <w:r>
        <w:rPr>
          <w:b/>
          <w:sz w:val="24"/>
          <w:szCs w:val="24"/>
        </w:rPr>
        <w:t xml:space="preserve"> We propose not to introduce new DCI format for NR URLLC Release 16 </w:t>
      </w:r>
    </w:p>
    <w:p w14:paraId="317DAAB8" w14:textId="77777777" w:rsidR="00806FA2" w:rsidRDefault="00806FA2" w:rsidP="00806FA2">
      <w:pPr>
        <w:contextualSpacing/>
        <w:jc w:val="both"/>
        <w:rPr>
          <w:sz w:val="24"/>
        </w:rPr>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36D611AB"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 xml:space="preserve">escribed our views on </w:t>
      </w:r>
      <w:r w:rsidR="00516D23">
        <w:rPr>
          <w:sz w:val="24"/>
          <w:szCs w:val="24"/>
          <w:lang w:val="en-GB"/>
        </w:rPr>
        <w:t>PDCCH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bookmarkEnd w:id="8"/>
    <w:p w14:paraId="2877ABA8" w14:textId="77777777" w:rsidR="006C0C47" w:rsidRDefault="006C0C47" w:rsidP="006C0C47">
      <w:pPr>
        <w:contextualSpacing/>
        <w:rPr>
          <w:b/>
          <w:sz w:val="24"/>
          <w:szCs w:val="24"/>
        </w:rPr>
      </w:pPr>
      <w:r>
        <w:rPr>
          <w:b/>
          <w:noProof/>
          <w:sz w:val="24"/>
          <w:szCs w:val="24"/>
        </w:rPr>
        <w:t xml:space="preserve">Proposal </w:t>
      </w:r>
      <w:r w:rsidRPr="00214BB7">
        <w:rPr>
          <w:b/>
          <w:noProof/>
          <w:sz w:val="24"/>
          <w:szCs w:val="24"/>
        </w:rPr>
        <w:t>:</w:t>
      </w:r>
      <w:r w:rsidRPr="00214BB7">
        <w:rPr>
          <w:b/>
          <w:sz w:val="24"/>
          <w:szCs w:val="24"/>
        </w:rPr>
        <w:t xml:space="preserve">  </w:t>
      </w:r>
      <w:r>
        <w:rPr>
          <w:b/>
          <w:sz w:val="24"/>
          <w:szCs w:val="24"/>
        </w:rPr>
        <w:t xml:space="preserve"> We propose not to introduce new DCI format for NR URLLC Release 16 </w:t>
      </w:r>
    </w:p>
    <w:p w14:paraId="071B69D4" w14:textId="242F6D8E" w:rsidR="00CD72A0" w:rsidRDefault="00CD72A0" w:rsidP="00516D23">
      <w:pPr>
        <w:contextualSpacing/>
        <w:rPr>
          <w:b/>
          <w:sz w:val="24"/>
          <w:szCs w:val="24"/>
        </w:rPr>
      </w:pPr>
      <w:bookmarkStart w:id="9" w:name="_GoBack"/>
      <w:bookmarkEnd w:id="9"/>
    </w:p>
    <w:sectPr w:rsidR="00CD72A0"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B4A76" w14:textId="77777777" w:rsidR="00BF51DA" w:rsidRDefault="00BF51DA" w:rsidP="00A03DF3">
      <w:pPr>
        <w:spacing w:after="0"/>
      </w:pPr>
      <w:r>
        <w:separator/>
      </w:r>
    </w:p>
  </w:endnote>
  <w:endnote w:type="continuationSeparator" w:id="0">
    <w:p w14:paraId="7E78C27C" w14:textId="77777777" w:rsidR="00BF51DA" w:rsidRDefault="00BF51D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C0C4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0C4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32616" w14:textId="77777777" w:rsidR="00BF51DA" w:rsidRDefault="00BF51DA" w:rsidP="00A03DF3">
      <w:pPr>
        <w:spacing w:after="0"/>
      </w:pPr>
      <w:r>
        <w:separator/>
      </w:r>
    </w:p>
  </w:footnote>
  <w:footnote w:type="continuationSeparator" w:id="0">
    <w:p w14:paraId="337C0313" w14:textId="77777777" w:rsidR="00BF51DA" w:rsidRDefault="00BF51D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3"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24"/>
  </w:num>
  <w:num w:numId="4">
    <w:abstractNumId w:val="7"/>
  </w:num>
  <w:num w:numId="5">
    <w:abstractNumId w:val="23"/>
  </w:num>
  <w:num w:numId="6">
    <w:abstractNumId w:val="9"/>
  </w:num>
  <w:num w:numId="7">
    <w:abstractNumId w:val="34"/>
  </w:num>
  <w:num w:numId="8">
    <w:abstractNumId w:val="44"/>
  </w:num>
  <w:num w:numId="9">
    <w:abstractNumId w:val="26"/>
  </w:num>
  <w:num w:numId="10">
    <w:abstractNumId w:val="31"/>
  </w:num>
  <w:num w:numId="11">
    <w:abstractNumId w:val="27"/>
  </w:num>
  <w:num w:numId="12">
    <w:abstractNumId w:val="45"/>
  </w:num>
  <w:num w:numId="13">
    <w:abstractNumId w:val="30"/>
  </w:num>
  <w:num w:numId="14">
    <w:abstractNumId w:val="36"/>
  </w:num>
  <w:num w:numId="15">
    <w:abstractNumId w:val="39"/>
  </w:num>
  <w:num w:numId="16">
    <w:abstractNumId w:val="25"/>
  </w:num>
  <w:num w:numId="17">
    <w:abstractNumId w:val="3"/>
  </w:num>
  <w:num w:numId="18">
    <w:abstractNumId w:val="46"/>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num>
  <w:num w:numId="23">
    <w:abstractNumId w:val="38"/>
  </w:num>
  <w:num w:numId="24">
    <w:abstractNumId w:val="42"/>
  </w:num>
  <w:num w:numId="25">
    <w:abstractNumId w:val="18"/>
  </w:num>
  <w:num w:numId="26">
    <w:abstractNumId w:val="41"/>
  </w:num>
  <w:num w:numId="27">
    <w:abstractNumId w:val="16"/>
  </w:num>
  <w:num w:numId="28">
    <w:abstractNumId w:val="19"/>
  </w:num>
  <w:num w:numId="29">
    <w:abstractNumId w:val="33"/>
  </w:num>
  <w:num w:numId="30">
    <w:abstractNumId w:val="40"/>
  </w:num>
  <w:num w:numId="31">
    <w:abstractNumId w:val="11"/>
  </w:num>
  <w:num w:numId="32">
    <w:abstractNumId w:val="13"/>
  </w:num>
  <w:num w:numId="33">
    <w:abstractNumId w:val="43"/>
  </w:num>
  <w:num w:numId="34">
    <w:abstractNumId w:val="37"/>
  </w:num>
  <w:num w:numId="35">
    <w:abstractNumId w:val="14"/>
  </w:num>
  <w:num w:numId="36">
    <w:abstractNumId w:val="29"/>
  </w:num>
  <w:num w:numId="37">
    <w:abstractNumId w:val="22"/>
  </w:num>
  <w:num w:numId="38">
    <w:abstractNumId w:val="6"/>
  </w:num>
  <w:num w:numId="39">
    <w:abstractNumId w:val="35"/>
  </w:num>
  <w:num w:numId="40">
    <w:abstractNumId w:val="21"/>
  </w:num>
  <w:num w:numId="41">
    <w:abstractNumId w:val="17"/>
  </w:num>
  <w:num w:numId="42">
    <w:abstractNumId w:val="15"/>
  </w:num>
  <w:num w:numId="43">
    <w:abstractNumId w:val="47"/>
  </w:num>
  <w:num w:numId="44">
    <w:abstractNumId w:val="28"/>
  </w:num>
  <w:num w:numId="45">
    <w:abstractNumId w:val="8"/>
  </w:num>
  <w:num w:numId="46">
    <w:abstractNumId w:val="4"/>
  </w:num>
  <w:num w:numId="47">
    <w:abstractNumId w:val="20"/>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2A65"/>
    <w:rsid w:val="0012374A"/>
    <w:rsid w:val="00123BE2"/>
    <w:rsid w:val="001259C2"/>
    <w:rsid w:val="00127944"/>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878AE"/>
    <w:rsid w:val="00191F54"/>
    <w:rsid w:val="001A19A7"/>
    <w:rsid w:val="001A1D31"/>
    <w:rsid w:val="001B362A"/>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37E2"/>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05419"/>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2B86"/>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6C62"/>
    <w:rsid w:val="00497134"/>
    <w:rsid w:val="004975B1"/>
    <w:rsid w:val="004A4B20"/>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4E1F"/>
    <w:rsid w:val="0059501C"/>
    <w:rsid w:val="0059709E"/>
    <w:rsid w:val="00597D4A"/>
    <w:rsid w:val="005A32B5"/>
    <w:rsid w:val="005A5933"/>
    <w:rsid w:val="005C1BF7"/>
    <w:rsid w:val="005C6587"/>
    <w:rsid w:val="005C7FD4"/>
    <w:rsid w:val="005E3576"/>
    <w:rsid w:val="005F0C73"/>
    <w:rsid w:val="005F237B"/>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0C47"/>
    <w:rsid w:val="006C1A5A"/>
    <w:rsid w:val="006C56E9"/>
    <w:rsid w:val="006C6647"/>
    <w:rsid w:val="006C6FB2"/>
    <w:rsid w:val="006D3D50"/>
    <w:rsid w:val="006D4957"/>
    <w:rsid w:val="006D4D06"/>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7F04"/>
    <w:rsid w:val="00770660"/>
    <w:rsid w:val="00774FEA"/>
    <w:rsid w:val="007764D8"/>
    <w:rsid w:val="00777947"/>
    <w:rsid w:val="007779D9"/>
    <w:rsid w:val="0078261D"/>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C469F"/>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874A3"/>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D0E9D"/>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15E7"/>
    <w:rsid w:val="00A735A8"/>
    <w:rsid w:val="00A7474A"/>
    <w:rsid w:val="00A76BE5"/>
    <w:rsid w:val="00A81287"/>
    <w:rsid w:val="00A8346B"/>
    <w:rsid w:val="00A8361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604"/>
    <w:rsid w:val="00B96FAF"/>
    <w:rsid w:val="00BA18D9"/>
    <w:rsid w:val="00BA5B8A"/>
    <w:rsid w:val="00BA5D65"/>
    <w:rsid w:val="00BB01DA"/>
    <w:rsid w:val="00BB14A6"/>
    <w:rsid w:val="00BB33F1"/>
    <w:rsid w:val="00BB4CBA"/>
    <w:rsid w:val="00BC6517"/>
    <w:rsid w:val="00BC7C88"/>
    <w:rsid w:val="00BD1779"/>
    <w:rsid w:val="00BD36B3"/>
    <w:rsid w:val="00BE32F5"/>
    <w:rsid w:val="00BE6C2E"/>
    <w:rsid w:val="00BE7F6F"/>
    <w:rsid w:val="00BF0835"/>
    <w:rsid w:val="00BF2B2D"/>
    <w:rsid w:val="00BF51DA"/>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7073"/>
    <w:rsid w:val="00C37F37"/>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4BDE"/>
    <w:rsid w:val="00CD5AE1"/>
    <w:rsid w:val="00CD72A0"/>
    <w:rsid w:val="00CE23DC"/>
    <w:rsid w:val="00CE3DA0"/>
    <w:rsid w:val="00CE55FD"/>
    <w:rsid w:val="00CE5D3D"/>
    <w:rsid w:val="00CE5E5D"/>
    <w:rsid w:val="00CF02FA"/>
    <w:rsid w:val="00CF25F8"/>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559F4"/>
    <w:rsid w:val="00D613FF"/>
    <w:rsid w:val="00D6762A"/>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24FE"/>
    <w:rsid w:val="00DF3AD1"/>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74FE"/>
    <w:rsid w:val="00E87E6B"/>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17091"/>
    <w:rsid w:val="00F22E4F"/>
    <w:rsid w:val="00F24D59"/>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565E"/>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出段落 Char1,列表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6384F-6915-4A1C-A53D-B71A2FAB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4</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84</cp:revision>
  <dcterms:created xsi:type="dcterms:W3CDTF">2018-08-10T23:22:00Z</dcterms:created>
  <dcterms:modified xsi:type="dcterms:W3CDTF">2019-02-15T23:53:00Z</dcterms:modified>
</cp:coreProperties>
</file>